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BD6ED4" w:rsidRPr="00CB1B8F" w:rsidTr="00704062">
        <w:tc>
          <w:tcPr>
            <w:tcW w:w="9345" w:type="dxa"/>
            <w:hideMark/>
          </w:tcPr>
          <w:p w:rsidR="00BD6ED4" w:rsidRPr="00CB1B8F" w:rsidRDefault="00BD6ED4" w:rsidP="00704062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6ED4" w:rsidRPr="00CB1B8F" w:rsidRDefault="00BD6ED4" w:rsidP="00704062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D6ED4" w:rsidRPr="00CB1B8F" w:rsidRDefault="00BD6ED4" w:rsidP="00704062">
            <w:pPr>
              <w:widowControl w:val="0"/>
              <w:autoSpaceDN w:val="0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B1B8F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МУНИЦИПАЛЬНОЕ БЮДЖЕТНОЕ ДОШКОЛЬНОЕ ОБРАЗОВАТЕЛЬНОЕ УЧРЕЖДЕНИЕ – ДЕТСКИЙ САД № 24</w:t>
            </w:r>
          </w:p>
        </w:tc>
      </w:tr>
      <w:tr w:rsidR="00BD6ED4" w:rsidRPr="00CB1B8F" w:rsidTr="00704062">
        <w:tc>
          <w:tcPr>
            <w:tcW w:w="9345" w:type="dxa"/>
            <w:hideMark/>
          </w:tcPr>
          <w:p w:rsidR="00BD6ED4" w:rsidRPr="00CB1B8F" w:rsidRDefault="00BD6ED4" w:rsidP="00704062">
            <w:pPr>
              <w:widowControl w:val="0"/>
              <w:autoSpaceDN w:val="0"/>
              <w:jc w:val="center"/>
              <w:rPr>
                <w:rFonts w:ascii="Times New Roman" w:hAnsi="Times New Roman"/>
                <w:lang w:val="ru-RU"/>
              </w:rPr>
            </w:pPr>
            <w:r w:rsidRPr="00CB1B8F">
              <w:rPr>
                <w:rFonts w:ascii="Times New Roman" w:hAnsi="Times New Roman"/>
                <w:lang w:val="ru-RU"/>
              </w:rPr>
              <w:t xml:space="preserve">300057, г. Тула, ул. </w:t>
            </w:r>
            <w:proofErr w:type="spellStart"/>
            <w:r w:rsidRPr="00CB1B8F">
              <w:rPr>
                <w:rFonts w:ascii="Times New Roman" w:hAnsi="Times New Roman"/>
                <w:lang w:val="ru-RU"/>
              </w:rPr>
              <w:t>Пузакова</w:t>
            </w:r>
            <w:proofErr w:type="spellEnd"/>
            <w:r w:rsidRPr="00CB1B8F">
              <w:rPr>
                <w:rFonts w:ascii="Times New Roman" w:hAnsi="Times New Roman"/>
                <w:lang w:val="ru-RU"/>
              </w:rPr>
              <w:t xml:space="preserve">, д. 13, Тел: 8 (4872) 47-20-83, </w:t>
            </w:r>
            <w:r w:rsidRPr="00CB1B8F">
              <w:rPr>
                <w:rFonts w:ascii="Times New Roman" w:hAnsi="Times New Roman"/>
              </w:rPr>
              <w:t>e</w:t>
            </w:r>
            <w:r w:rsidRPr="00CB1B8F">
              <w:rPr>
                <w:rFonts w:ascii="Times New Roman" w:hAnsi="Times New Roman"/>
                <w:lang w:val="ru-RU"/>
              </w:rPr>
              <w:t>-</w:t>
            </w:r>
            <w:r w:rsidRPr="00CB1B8F">
              <w:rPr>
                <w:rFonts w:ascii="Times New Roman" w:hAnsi="Times New Roman"/>
              </w:rPr>
              <w:t>mail</w:t>
            </w:r>
            <w:r w:rsidRPr="00CB1B8F">
              <w:rPr>
                <w:rFonts w:ascii="Times New Roman" w:hAnsi="Times New Roman"/>
                <w:lang w:val="ru-RU"/>
              </w:rPr>
              <w:t xml:space="preserve">: </w:t>
            </w:r>
            <w:proofErr w:type="spellStart"/>
            <w:r w:rsidRPr="00CB1B8F">
              <w:rPr>
                <w:rFonts w:ascii="Times New Roman" w:hAnsi="Times New Roman"/>
              </w:rPr>
              <w:t>tula</w:t>
            </w:r>
            <w:proofErr w:type="spellEnd"/>
            <w:r w:rsidRPr="00CB1B8F">
              <w:rPr>
                <w:rFonts w:ascii="Times New Roman" w:hAnsi="Times New Roman"/>
                <w:lang w:val="ru-RU"/>
              </w:rPr>
              <w:t>-</w:t>
            </w:r>
            <w:r w:rsidRPr="00CB1B8F">
              <w:rPr>
                <w:rFonts w:ascii="Times New Roman" w:hAnsi="Times New Roman"/>
              </w:rPr>
              <w:t>ds</w:t>
            </w:r>
            <w:r w:rsidRPr="00CB1B8F">
              <w:rPr>
                <w:rFonts w:ascii="Times New Roman" w:hAnsi="Times New Roman"/>
                <w:lang w:val="ru-RU"/>
              </w:rPr>
              <w:t>24@</w:t>
            </w:r>
            <w:proofErr w:type="spellStart"/>
            <w:r w:rsidRPr="00CB1B8F">
              <w:rPr>
                <w:rFonts w:ascii="Times New Roman" w:hAnsi="Times New Roman"/>
              </w:rPr>
              <w:t>tularegion</w:t>
            </w:r>
            <w:proofErr w:type="spellEnd"/>
            <w:r w:rsidRPr="00CB1B8F">
              <w:rPr>
                <w:rFonts w:ascii="Times New Roman" w:hAnsi="Times New Roman"/>
                <w:lang w:val="ru-RU"/>
              </w:rPr>
              <w:t>.</w:t>
            </w:r>
            <w:r w:rsidRPr="00CB1B8F">
              <w:rPr>
                <w:rFonts w:ascii="Times New Roman" w:hAnsi="Times New Roman"/>
              </w:rPr>
              <w:t>org</w:t>
            </w:r>
          </w:p>
        </w:tc>
      </w:tr>
      <w:tr w:rsidR="00BD6ED4" w:rsidRPr="00CB1B8F" w:rsidTr="00704062">
        <w:trPr>
          <w:trHeight w:val="80"/>
        </w:trPr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6ED4" w:rsidRPr="00CB1B8F" w:rsidRDefault="00BD6ED4" w:rsidP="00704062">
            <w:pPr>
              <w:widowControl w:val="0"/>
              <w:tabs>
                <w:tab w:val="left" w:pos="3345"/>
              </w:tabs>
              <w:autoSpaceDN w:val="0"/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BD6ED4" w:rsidRPr="006513DB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ind w:right="-2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6513DB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7B6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НАЛИТИЧЕСКАЯ СПРАВКА ПО РЕЗУЛЬТАТАМ МОНИТОРИНГА ОСВОЕНИЯ</w:t>
      </w: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ОБРАЗОВАТЕЛЬНЫХ ОБЛАСТЕЙ </w:t>
      </w: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2022-23уч. год</w:t>
      </w: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Составила: </w:t>
      </w: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методист </w:t>
      </w:r>
    </w:p>
    <w:p w:rsidR="00BD6ED4" w:rsidRPr="00E16793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Асташова Т.В.</w:t>
      </w:r>
      <w:r w:rsidRPr="00E167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BD6ED4" w:rsidRPr="00FD7B62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D6ED4" w:rsidRPr="00567813" w:rsidRDefault="00BD6ED4" w:rsidP="00BD6ED4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265"/>
      </w:tblGrid>
      <w:tr w:rsidR="00BD6ED4" w:rsidRPr="006513DB" w:rsidTr="00704062">
        <w:trPr>
          <w:tblCellSpacing w:w="0" w:type="dxa"/>
        </w:trPr>
        <w:tc>
          <w:tcPr>
            <w:tcW w:w="0" w:type="auto"/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Цель: 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определить степень освоения детьми общеобразовательной программы дошкольного учреждения и влияние образовательного процесса, организуемого в дошкольном учреждении, на развитие ребенка.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Объектом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мониторинга являются показатели развития детей в пяти образовательных областях, оцениваемые на основе анализа их проявлений в разных видах деятельности.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Предметом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мониторингового исследования являются навыки и умения детей в разных образовательных областях.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Субъект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мониторинга – дети дошкольного возраста.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         Данный мониторинг проводился воспитате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лями.</w:t>
      </w: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Формы проведений мониторинга: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наблюдения за детьми, игры, беседы, экспертные оценки.</w:t>
      </w:r>
    </w:p>
    <w:p w:rsidR="00BD6ED4" w:rsidRDefault="00BD6ED4" w:rsidP="00BD6ED4">
      <w:pPr>
        <w:spacing w:after="0" w:line="240" w:lineRule="auto"/>
        <w:ind w:firstLine="708"/>
        <w:jc w:val="both"/>
        <w:rPr>
          <w:b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 провод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ился в соответствии с ФГОС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конце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учебного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по 5 образовательным областям: «Физическое развитие», «Социально-коммуникативное развитие», «Познавательное развитие», «Речевое развитие», «Художественно-эстетическое развитие».</w:t>
      </w:r>
      <w:r w:rsidRPr="00637476">
        <w:rPr>
          <w:b/>
        </w:rPr>
        <w:t xml:space="preserve"> </w:t>
      </w:r>
    </w:p>
    <w:p w:rsidR="00BD6ED4" w:rsidRPr="00637476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 мониторинге участвовало 12</w:t>
      </w:r>
      <w:r w:rsidRPr="00637476">
        <w:rPr>
          <w:rFonts w:ascii="Times New Roman" w:hAnsi="Times New Roman" w:cs="Times New Roman"/>
          <w:sz w:val="28"/>
          <w:szCs w:val="28"/>
        </w:rPr>
        <w:t xml:space="preserve"> групп:</w:t>
      </w:r>
      <w:r>
        <w:rPr>
          <w:rFonts w:ascii="Times New Roman" w:hAnsi="Times New Roman" w:cs="Times New Roman"/>
          <w:sz w:val="28"/>
          <w:szCs w:val="28"/>
        </w:rPr>
        <w:t xml:space="preserve"> группа раннего возраста - 2, младшая группа - 3, средняя группа – 2, старшая группа – 3, подготовительная группа - 3</w:t>
      </w:r>
      <w:r w:rsidRPr="00637476">
        <w:rPr>
          <w:rFonts w:ascii="Times New Roman" w:hAnsi="Times New Roman" w:cs="Times New Roman"/>
          <w:sz w:val="28"/>
          <w:szCs w:val="28"/>
        </w:rPr>
        <w:t xml:space="preserve">. Всего подлежало мониторингу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374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179 детей.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группах </w:t>
      </w: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младшего возраста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 обследовано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57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детей. Из них:</w:t>
      </w:r>
    </w:p>
    <w:p w:rsidR="00BD6ED4" w:rsidRPr="000430C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высокий уровень –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15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26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0430C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средний уровень –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37 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65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0430C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низкий уровень –     5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чел. 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9 </w:t>
      </w:r>
      <w:r w:rsidRPr="000430C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%).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Результаты мониторинга по линиям развития детей групп младшего возраста представлены в таблице № 1.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5 групп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группы раннего возраста 2  - № 4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№ 9,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ладшие  группы 3 -  № 1,</w:t>
      </w:r>
      <w:r w:rsidRPr="00CF674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10, № 12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  <w:proofErr w:type="gramEnd"/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ED4" w:rsidRPr="00637476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1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85"/>
        <w:gridCol w:w="1136"/>
        <w:gridCol w:w="621"/>
        <w:gridCol w:w="626"/>
        <w:gridCol w:w="892"/>
        <w:gridCol w:w="8"/>
        <w:gridCol w:w="907"/>
        <w:gridCol w:w="984"/>
        <w:gridCol w:w="799"/>
        <w:gridCol w:w="712"/>
        <w:gridCol w:w="733"/>
      </w:tblGrid>
      <w:tr w:rsidR="00BD6ED4" w:rsidRPr="006513DB" w:rsidTr="00704062">
        <w:trPr>
          <w:trHeight w:val="1005"/>
          <w:tblCellSpacing w:w="0" w:type="dxa"/>
          <w:jc w:val="center"/>
        </w:trPr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6ED4" w:rsidRPr="006513DB" w:rsidTr="00704062">
        <w:trPr>
          <w:trHeight w:val="168"/>
          <w:tblCellSpacing w:w="0" w:type="dxa"/>
          <w:jc w:val="center"/>
        </w:trPr>
        <w:tc>
          <w:tcPr>
            <w:tcW w:w="1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510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 </w:t>
            </w:r>
            <w:r w:rsidRPr="000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Pr="000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67 </w:t>
            </w:r>
            <w:r w:rsidRPr="000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</w:t>
            </w:r>
            <w:r w:rsidRPr="000430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 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DD678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F143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2F14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</w:tbl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В течение учебного года проводилась индивидуальная работа с детьми, пополнялась учебно-методическая база ДОУ, полностью была преобразова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предметно-развивающая среда групп,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оснастилась материально-техническая база средствами ИКТ, проводились закаливающие мероприятия, велась адаптационная и просветительская работа с родителями. Благодаря этому удалось повысить уровень освоения программы детьми к концу года.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Из представленных данных можно сделать вывод, что в основном по всем образовательным направлениям преобладает средний уровень развития. Особое внимание необходимо уделять речевому развитию младших дошкольников: побуждать к свободному общению </w:t>
      </w:r>
      <w:proofErr w:type="gramStart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со</w:t>
      </w:r>
      <w:proofErr w:type="gramEnd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взрослыми и сверстникам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и, осуществлять индивидуализаци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ю форм работы с дошкольниками. Расширять формы взаимодействия с родителями воспитанников. 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данных показал, что материал по всем образовательным областям усвоен большинством детей на высоком уровне. Все дети овладели необходимыми умениями и навыками в соответствии с возрастными особенностями.  </w:t>
      </w:r>
    </w:p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средних группах 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обследовано 30 детей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. Из них:</w:t>
      </w:r>
    </w:p>
    <w:p w:rsidR="00BD6ED4" w:rsidRPr="00C27CA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B5D3E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 xml:space="preserve">- 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высокий уровень –   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77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C27CA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средний уровень –  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23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C27CAE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низкий уровень –   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0 чел.  (0</w:t>
      </w:r>
      <w:r w:rsidRPr="00C27CA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%).</w:t>
      </w:r>
    </w:p>
    <w:p w:rsidR="00BD6ED4" w:rsidRPr="00CF674D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мониторинга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  № 2,</w:t>
      </w:r>
      <w:r w:rsidRPr="00930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средняя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7</w:t>
      </w: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D6ED4" w:rsidRPr="00637476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2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0"/>
        <w:gridCol w:w="885"/>
        <w:gridCol w:w="1136"/>
        <w:gridCol w:w="621"/>
        <w:gridCol w:w="625"/>
        <w:gridCol w:w="892"/>
        <w:gridCol w:w="8"/>
        <w:gridCol w:w="907"/>
        <w:gridCol w:w="1030"/>
        <w:gridCol w:w="757"/>
        <w:gridCol w:w="712"/>
        <w:gridCol w:w="732"/>
      </w:tblGrid>
      <w:tr w:rsidR="00BD6ED4" w:rsidRPr="006513DB" w:rsidTr="00704062">
        <w:trPr>
          <w:trHeight w:val="1005"/>
          <w:tblCellSpacing w:w="0" w:type="dxa"/>
          <w:jc w:val="center"/>
        </w:trPr>
        <w:tc>
          <w:tcPr>
            <w:tcW w:w="116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0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7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4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6ED4" w:rsidRPr="006513DB" w:rsidTr="00704062">
        <w:trPr>
          <w:trHeight w:val="168"/>
          <w:tblCellSpacing w:w="0" w:type="dxa"/>
          <w:jc w:val="center"/>
        </w:trPr>
        <w:tc>
          <w:tcPr>
            <w:tcW w:w="116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510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77 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430C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F208C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BD6ED4" w:rsidRDefault="00BD6ED4" w:rsidP="00BD6ED4">
      <w:pPr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Данная возрастная группа детей показала достаточный уровень овладения результатами образовательной программой.  Данные проведённого мониторинга доказывают, что программный материал подобран в соответствии с возрастными и индивидуальными особенностями детей. Низкий уровень усвоения образовательной программы сведен к минимуму, различия в высоком и среднем уровне не значительны, знания детей прочные, они способны применять их в повседневной жизни.</w:t>
      </w:r>
    </w:p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старших группах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обследовано 31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имеют: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  </w:t>
      </w: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высокий уровень -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94</w:t>
      </w: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%);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средний уровень –  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%);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низкий уровень –      0 чел.  (0 %).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мониторинга старшей группы представлены в таблице № 3.</w:t>
      </w: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(2 группы: старшие группы 2 - № 6, № 8</w:t>
      </w:r>
      <w:r w:rsidRPr="00E1679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</w:t>
      </w: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ED4" w:rsidRPr="00637476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63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3 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885"/>
        <w:gridCol w:w="1136"/>
        <w:gridCol w:w="621"/>
        <w:gridCol w:w="626"/>
        <w:gridCol w:w="892"/>
        <w:gridCol w:w="8"/>
        <w:gridCol w:w="907"/>
        <w:gridCol w:w="984"/>
        <w:gridCol w:w="799"/>
        <w:gridCol w:w="712"/>
        <w:gridCol w:w="733"/>
      </w:tblGrid>
      <w:tr w:rsidR="00BD6ED4" w:rsidRPr="006513DB" w:rsidTr="00704062">
        <w:trPr>
          <w:trHeight w:val="1005"/>
          <w:tblCellSpacing w:w="0" w:type="dxa"/>
          <w:jc w:val="center"/>
        </w:trPr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Pr="006513DB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6ED4" w:rsidRPr="006513DB" w:rsidTr="00704062">
        <w:trPr>
          <w:trHeight w:val="168"/>
          <w:tblCellSpacing w:w="0" w:type="dxa"/>
          <w:jc w:val="center"/>
        </w:trPr>
        <w:tc>
          <w:tcPr>
            <w:tcW w:w="1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6513DB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510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90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87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C27CAE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7C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566826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68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Исходя из общего результата мониторинга по освоению программного материала по всем образовательным областям, дети в основном показали высокий и средний уровень развития. В целом реализация  образовательных областей находится на достаточном уровне, однако, предпосылки к повышению уровня детей существуют.  Достижению таких результатов способствовало использование разнообразных форм работы, как с </w:t>
      </w:r>
      <w:proofErr w:type="gramStart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детьми</w:t>
      </w:r>
      <w:proofErr w:type="gramEnd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так и с родителями. Выявлены проблемы индивидуального развития каждого ребенка, в соответствии с которыми нужно продолжать формировать навыки и умения.</w:t>
      </w: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подготовительных группах</w:t>
      </w: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было обследовано 61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ребенок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имеют: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высокий уровень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59</w:t>
      </w: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97</w:t>
      </w: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средний уровень –  2 чел.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3</w:t>
      </w: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06632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6632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низкий уровень –    0 чел. (0 %).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Результаты мониторинга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подготовительной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представлены в таблице № 4.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(3 группы: подготовительная 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группа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3,</w:t>
      </w:r>
      <w:r w:rsidRPr="0093020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№ 5, № 11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)</w:t>
      </w:r>
    </w:p>
    <w:p w:rsidR="00BD6ED4" w:rsidRPr="00637476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4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2"/>
        <w:gridCol w:w="885"/>
        <w:gridCol w:w="1136"/>
        <w:gridCol w:w="621"/>
        <w:gridCol w:w="614"/>
        <w:gridCol w:w="892"/>
        <w:gridCol w:w="8"/>
        <w:gridCol w:w="906"/>
        <w:gridCol w:w="1062"/>
        <w:gridCol w:w="750"/>
        <w:gridCol w:w="712"/>
        <w:gridCol w:w="727"/>
      </w:tblGrid>
      <w:tr w:rsidR="00BD6ED4" w:rsidRPr="006513DB" w:rsidTr="00704062">
        <w:trPr>
          <w:trHeight w:val="1005"/>
          <w:tblCellSpacing w:w="0" w:type="dxa"/>
          <w:jc w:val="center"/>
        </w:trPr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6ED4" w:rsidRPr="006513DB" w:rsidTr="00704062">
        <w:trPr>
          <w:trHeight w:val="168"/>
          <w:tblCellSpacing w:w="0" w:type="dxa"/>
          <w:jc w:val="center"/>
        </w:trPr>
        <w:tc>
          <w:tcPr>
            <w:tcW w:w="1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6513DB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510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92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97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06632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63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</w:tbl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В итоге представленных данных мониторингового обследования видно, чт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 у детей к школе сформированы 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познавательные интересы, они выговаривают все звуки родного языка, сформирован грамматический строй речи. Они умеют договариваться, находить выход из конфликтных ситуаций. Преобладает высокий уровень достижения планируемых результатов освоения основной общеобразовательной программы.</w:t>
      </w: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D4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D4" w:rsidRPr="00C43468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Результатам </w:t>
      </w:r>
      <w:r w:rsidRPr="008B3615">
        <w:rPr>
          <w:rFonts w:ascii="Times New Roman" w:eastAsia="Times New Roman" w:hAnsi="Times New Roman" w:cs="Times New Roman"/>
          <w:sz w:val="28"/>
          <w:szCs w:val="24"/>
          <w:lang w:eastAsia="ru-RU"/>
        </w:rPr>
        <w:t>мониторинга образовательного процесса и детского развития по всем возрастным группам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8B3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всего детей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179</w:t>
      </w:r>
      <w:r w:rsidRPr="008B36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человек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, из них имеют:</w:t>
      </w:r>
    </w:p>
    <w:p w:rsidR="00BD6ED4" w:rsidRPr="00B7423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 высокий уровень –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126 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человека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70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%);</w:t>
      </w:r>
    </w:p>
    <w:p w:rsidR="00BD6ED4" w:rsidRPr="00B7423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средний уровень –   48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человек (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27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%);</w:t>
      </w:r>
    </w:p>
    <w:p w:rsidR="00BD6ED4" w:rsidRPr="00B7423F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- низкий уровень –   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5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чело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век (3</w:t>
      </w:r>
      <w:r w:rsidRPr="00B7423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%).</w:t>
      </w:r>
    </w:p>
    <w:p w:rsidR="00BD6ED4" w:rsidRPr="008F30DA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F30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Результаты мониторинга показали следующий уровень овладения дошкольниками необходимыми навыками и умениями по образовательным областям:</w:t>
      </w:r>
    </w:p>
    <w:p w:rsidR="00BD6ED4" w:rsidRPr="00637476" w:rsidRDefault="00BD6ED4" w:rsidP="00BD6ED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37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Таблица 5</w:t>
      </w:r>
    </w:p>
    <w:tbl>
      <w:tblPr>
        <w:tblW w:w="946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8"/>
        <w:gridCol w:w="885"/>
        <w:gridCol w:w="1136"/>
        <w:gridCol w:w="617"/>
        <w:gridCol w:w="636"/>
        <w:gridCol w:w="892"/>
        <w:gridCol w:w="8"/>
        <w:gridCol w:w="907"/>
        <w:gridCol w:w="984"/>
        <w:gridCol w:w="799"/>
        <w:gridCol w:w="712"/>
        <w:gridCol w:w="731"/>
      </w:tblGrid>
      <w:tr w:rsidR="00BD6ED4" w:rsidRPr="006513DB" w:rsidTr="00704062">
        <w:trPr>
          <w:trHeight w:val="1005"/>
          <w:tblCellSpacing w:w="0" w:type="dxa"/>
          <w:jc w:val="center"/>
        </w:trPr>
        <w:tc>
          <w:tcPr>
            <w:tcW w:w="1196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BD6ED4" w:rsidRPr="006513DB" w:rsidRDefault="00BD6ED4" w:rsidP="007040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Уровень </w:t>
            </w:r>
          </w:p>
        </w:tc>
        <w:tc>
          <w:tcPr>
            <w:tcW w:w="202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2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181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Познавательное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6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</w:t>
            </w:r>
          </w:p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</w:p>
        </w:tc>
        <w:tc>
          <w:tcPr>
            <w:tcW w:w="1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6513DB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513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BD6ED4" w:rsidRPr="006513DB" w:rsidTr="00704062">
        <w:trPr>
          <w:trHeight w:val="168"/>
          <w:tblCellSpacing w:w="0" w:type="dxa"/>
          <w:jc w:val="center"/>
        </w:trPr>
        <w:tc>
          <w:tcPr>
            <w:tcW w:w="119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6513DB" w:rsidRDefault="00BD6ED4" w:rsidP="0070406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кол-во детей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19207F" w:rsidRDefault="00BD6ED4" w:rsidP="0070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920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BD6ED4" w:rsidRPr="006513DB" w:rsidTr="00704062">
        <w:trPr>
          <w:trHeight w:val="510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 </w:t>
            </w:r>
            <w:r w:rsidRPr="00B7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CF68DA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 w:rsidRPr="00B7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CF68DA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24 %</w:t>
            </w:r>
          </w:p>
        </w:tc>
      </w:tr>
      <w:tr w:rsidR="00BD6ED4" w:rsidRPr="006513DB" w:rsidTr="00704062">
        <w:trPr>
          <w:trHeight w:val="495"/>
          <w:tblCellSpacing w:w="0" w:type="dxa"/>
          <w:jc w:val="center"/>
        </w:trPr>
        <w:tc>
          <w:tcPr>
            <w:tcW w:w="11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2837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837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B742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6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4%</w:t>
            </w:r>
          </w:p>
        </w:tc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1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  <w:tc>
          <w:tcPr>
            <w:tcW w:w="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7C7DD5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D6ED4" w:rsidRPr="00B7423F" w:rsidRDefault="00BD6ED4" w:rsidP="0070406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2 %</w:t>
            </w:r>
          </w:p>
        </w:tc>
      </w:tr>
    </w:tbl>
    <w:p w:rsidR="00BD6ED4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4"/>
          <w:lang w:eastAsia="ru-RU"/>
        </w:rPr>
      </w:pPr>
    </w:p>
    <w:p w:rsidR="00BD6ED4" w:rsidRPr="00CF68DA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Анализ качества освоения программного материала воспитанниками по образовательным областям   позволяет выстроить следующий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рейтинговый порядок: н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аиболее высокие результаты у воспитанников по таким образовательным направлениям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как « «Физическое развитие»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74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%, «Социально – коммуникативное развитие»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72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%,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«Познавательное развитие» - 72 % , 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>несколько ниже результаты по направлениям и областям «Художественно – эстетическое развитие» - 6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% и «Речевое развитие» -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66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>%.</w:t>
      </w:r>
    </w:p>
    <w:p w:rsidR="00BD6ED4" w:rsidRPr="006D581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6513D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6D5813">
        <w:rPr>
          <w:rFonts w:ascii="Times New Roman" w:eastAsia="Times New Roman" w:hAnsi="Times New Roman" w:cs="Times New Roman"/>
          <w:iCs/>
          <w:sz w:val="28"/>
          <w:szCs w:val="28"/>
        </w:rPr>
        <w:t xml:space="preserve">Работа по реализации программы во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всех группах велась стабильно: </w:t>
      </w:r>
      <w:r w:rsidRPr="006D5813">
        <w:rPr>
          <w:rFonts w:ascii="Times New Roman" w:eastAsia="Times New Roman" w:hAnsi="Times New Roman" w:cs="Times New Roman"/>
          <w:iCs/>
          <w:sz w:val="28"/>
          <w:szCs w:val="28"/>
        </w:rPr>
        <w:t xml:space="preserve">наилучшую результативность в выполнении программы показали воспитатели старших, подготовительных групп; наиболее низкая результативность – в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группах раннего возраста и </w:t>
      </w:r>
      <w:r w:rsidRPr="006D5813">
        <w:rPr>
          <w:rFonts w:ascii="Times New Roman" w:eastAsia="Times New Roman" w:hAnsi="Times New Roman" w:cs="Times New Roman"/>
          <w:iCs/>
          <w:sz w:val="28"/>
          <w:szCs w:val="28"/>
        </w:rPr>
        <w:t xml:space="preserve"> младших группах.</w:t>
      </w:r>
    </w:p>
    <w:p w:rsidR="00BD6ED4" w:rsidRPr="00E16793" w:rsidRDefault="00BD6ED4" w:rsidP="00BD6E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Таким образом, итоги данного мониторинга помогут педагогам определить дифференцированный подход к каждому ребёнку в подборе форм организации, методов и приёмов воспитания и развития на новый учебный год.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            </w:t>
      </w:r>
      <w:r w:rsidRPr="00E16793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Вывод:</w:t>
      </w: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результаты мониторинга овладения воспитанниками дошкольного образовательного учреждения программным материалом по образовательным областям являются удовлетворительными на достаточном уровне.</w:t>
      </w:r>
    </w:p>
    <w:p w:rsidR="00BD6ED4" w:rsidRPr="00745D70" w:rsidRDefault="00BD6ED4" w:rsidP="00BD6ED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745D7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Рекомендации</w:t>
      </w:r>
      <w:r w:rsidRPr="00745D70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:</w:t>
      </w:r>
    </w:p>
    <w:p w:rsidR="00BD6ED4" w:rsidRPr="00CF68DA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CF68DA">
        <w:rPr>
          <w:rFonts w:ascii="Times New Roman" w:eastAsia="Times New Roman" w:hAnsi="Times New Roman" w:cs="Times New Roman"/>
          <w:sz w:val="28"/>
          <w:szCs w:val="24"/>
          <w:lang w:eastAsia="ru-RU"/>
        </w:rPr>
        <w:t>.        Вести целенаправленную работу по повышению качества освоения программного материала по образовательным областям «Социально – коммуникативное развитие», «Художественно – эстетическое развитие» «Речевое развитие».  Срок исполнения:  постоянно, в течение года.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2.    Осуществлять дифференцированный подход в течение года к детям с целью улучшения освоения программы. Срок исполнения:  систематично, в течение года</w:t>
      </w:r>
    </w:p>
    <w:p w:rsidR="00BD6ED4" w:rsidRPr="00E16793" w:rsidRDefault="00BD6ED4" w:rsidP="00BD6E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3.  При планировании </w:t>
      </w:r>
      <w:proofErr w:type="spellStart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воспитательно</w:t>
      </w:r>
      <w:proofErr w:type="spellEnd"/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-образовательной работы учитывать результаты мониторинга. Срок исполнения:  постоянно, в течение года</w:t>
      </w:r>
    </w:p>
    <w:p w:rsidR="00BD6ED4" w:rsidRPr="006D5813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16793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BD6ED4" w:rsidRPr="006513DB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Pr="006513DB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Pr="006D5813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D6ED4" w:rsidRPr="006513DB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Pr="006513DB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6ED4" w:rsidRPr="006513DB" w:rsidRDefault="00BD6ED4" w:rsidP="00BD6ED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2E8" w:rsidRDefault="00DA52E8">
      <w:bookmarkStart w:id="0" w:name="_GoBack"/>
      <w:bookmarkEnd w:id="0"/>
    </w:p>
    <w:sectPr w:rsidR="00DA52E8" w:rsidSect="00C43468">
      <w:pgSz w:w="11906" w:h="16838"/>
      <w:pgMar w:top="709" w:right="850" w:bottom="567" w:left="851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ED4"/>
    <w:rsid w:val="00BD6ED4"/>
    <w:rsid w:val="00DA5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39"/>
    <w:rsid w:val="00BD6ED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E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3">
    <w:name w:val="Сетка таблицы13"/>
    <w:basedOn w:val="a1"/>
    <w:uiPriority w:val="39"/>
    <w:rsid w:val="00BD6ED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1359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2023-09-08T09:37:00Z</dcterms:created>
  <dcterms:modified xsi:type="dcterms:W3CDTF">2023-09-08T09:38:00Z</dcterms:modified>
</cp:coreProperties>
</file>